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0BF3C" w14:textId="77777777" w:rsidR="00834C2F" w:rsidRPr="00834C2F" w:rsidRDefault="00834C2F" w:rsidP="00834C2F">
      <w:pPr>
        <w:spacing w:after="0"/>
        <w:jc w:val="both"/>
        <w:rPr>
          <w:b/>
          <w:bCs/>
          <w:sz w:val="24"/>
          <w:szCs w:val="20"/>
        </w:rPr>
      </w:pPr>
      <w:r w:rsidRPr="00834C2F">
        <w:rPr>
          <w:b/>
          <w:bCs/>
          <w:sz w:val="24"/>
          <w:szCs w:val="20"/>
        </w:rPr>
        <w:t>Перечень объектов (территорий) Донецкой Народной Республики, подлежащих антитеррористической защите в сфере деятельности Минсельхоза России</w:t>
      </w:r>
    </w:p>
    <w:p w14:paraId="09152642" w14:textId="2BF45580" w:rsidR="00834C2F" w:rsidRPr="00834C2F" w:rsidRDefault="00834C2F" w:rsidP="00834C2F">
      <w:pPr>
        <w:spacing w:after="0"/>
        <w:jc w:val="both"/>
        <w:rPr>
          <w:sz w:val="24"/>
          <w:szCs w:val="20"/>
        </w:rPr>
      </w:pPr>
      <w:r w:rsidRPr="00834C2F">
        <w:rPr>
          <w:sz w:val="24"/>
          <w:szCs w:val="20"/>
        </w:rPr>
        <w:drawing>
          <wp:inline distT="0" distB="0" distL="0" distR="0" wp14:anchorId="76B96190" wp14:editId="797C2DC2">
            <wp:extent cx="6569710" cy="3442970"/>
            <wp:effectExtent l="0" t="0" r="2540" b="5080"/>
            <wp:docPr id="1358155413" name="Рисунок 1" descr="Перечень объектов (территорий) Донецкой Народной Республики, подлежащих антитеррористической защите в сфере деятельности Минсельхоза России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чень объектов (территорий) Донецкой Народной Республики, подлежащих антитеррористической защите в сфере деятельности Минсельхоза России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97411" w14:textId="77777777" w:rsidR="00834C2F" w:rsidRPr="00834C2F" w:rsidRDefault="00834C2F" w:rsidP="00834C2F">
      <w:pPr>
        <w:spacing w:after="0"/>
        <w:jc w:val="both"/>
        <w:rPr>
          <w:sz w:val="24"/>
          <w:szCs w:val="20"/>
        </w:rPr>
      </w:pPr>
      <w:r w:rsidRPr="00834C2F">
        <w:rPr>
          <w:sz w:val="24"/>
          <w:szCs w:val="20"/>
        </w:rPr>
        <w:t>В рамках исполнения постановления Правительства Российской Федерации от 25 августа 2025 года № 1270 </w:t>
      </w:r>
      <w:r w:rsidRPr="00834C2F">
        <w:rPr>
          <w:b/>
          <w:bCs/>
          <w:sz w:val="24"/>
          <w:szCs w:val="20"/>
        </w:rPr>
        <w:t>«Об утверждении требований к антитеррористической защищенности объектов (территорий) Министерства сельского хозяйства Российской Федерации, Федеральной службы по ветеринарному и фитосанитарному надзору и Федерального агентства по рыболовству и объектов (территорий), относящихся к сфере деятельности Министерства сельского хозяйства Российской Федерации, Федеральной службы по ветеринарному и фитосанитарному надзору и Федерального агентства по рыболовству, а также формы паспорта безопасности этих объектов (территорий)</w:t>
      </w:r>
      <w:r w:rsidRPr="00834C2F">
        <w:rPr>
          <w:sz w:val="24"/>
          <w:szCs w:val="20"/>
        </w:rPr>
        <w:t>» приказом от 26 марта 2026 года № 178 утвержден перечень объектов (территорий), подлежащих антитеррористической защите, правообладателями которых являются организации, относящиеся к сфере деятельности Министерства сельского хозяйства Российской Федерации.</w:t>
      </w:r>
    </w:p>
    <w:p w14:paraId="67966B98" w14:textId="77777777" w:rsidR="00834C2F" w:rsidRPr="00834C2F" w:rsidRDefault="00834C2F" w:rsidP="00834C2F">
      <w:pPr>
        <w:spacing w:after="0"/>
        <w:jc w:val="both"/>
        <w:rPr>
          <w:sz w:val="24"/>
          <w:szCs w:val="20"/>
        </w:rPr>
      </w:pPr>
      <w:r w:rsidRPr="00834C2F">
        <w:rPr>
          <w:sz w:val="24"/>
          <w:szCs w:val="20"/>
        </w:rPr>
        <w:t>Перечень объектов подлежащих антитеррористической защите на территории Донецкой Народной Республики, правообладателями которых являются организации, относящихся к сфере деятельности Министерства сельского хозяйства, пищевой и перерабатывающей промышленности Донецкой Народной Республики размещен на официальном сайте </w:t>
      </w:r>
      <w:hyperlink r:id="rId6" w:tgtFrame="_blank" w:history="1">
        <w:r w:rsidRPr="00834C2F">
          <w:rPr>
            <w:rStyle w:val="ac"/>
            <w:b/>
            <w:bCs/>
            <w:sz w:val="24"/>
            <w:szCs w:val="20"/>
          </w:rPr>
          <w:t>Министерства сельского хозяйства Российской Федерации</w:t>
        </w:r>
      </w:hyperlink>
      <w:r w:rsidRPr="00834C2F">
        <w:rPr>
          <w:sz w:val="24"/>
          <w:szCs w:val="20"/>
        </w:rPr>
        <w:t> в разделе «</w:t>
      </w:r>
      <w:r w:rsidRPr="00834C2F">
        <w:rPr>
          <w:b/>
          <w:bCs/>
          <w:sz w:val="24"/>
          <w:szCs w:val="20"/>
        </w:rPr>
        <w:t>Открытое Министерство</w:t>
      </w:r>
      <w:r w:rsidRPr="00834C2F">
        <w:rPr>
          <w:sz w:val="24"/>
          <w:szCs w:val="20"/>
        </w:rPr>
        <w:t>», подразделе «</w:t>
      </w:r>
      <w:r w:rsidRPr="00834C2F">
        <w:rPr>
          <w:b/>
          <w:bCs/>
          <w:sz w:val="24"/>
          <w:szCs w:val="20"/>
        </w:rPr>
        <w:t>Противодействие терроризму</w:t>
      </w:r>
      <w:r w:rsidRPr="00834C2F">
        <w:rPr>
          <w:sz w:val="24"/>
          <w:szCs w:val="20"/>
        </w:rPr>
        <w:t>», а также на официальном сайте </w:t>
      </w:r>
      <w:hyperlink r:id="rId7" w:history="1">
        <w:r w:rsidRPr="00834C2F">
          <w:rPr>
            <w:rStyle w:val="ac"/>
            <w:b/>
            <w:bCs/>
            <w:sz w:val="24"/>
            <w:szCs w:val="20"/>
          </w:rPr>
          <w:t>Министерства сельского хозяйства, пищевой и перерабатывающей промышленности Донецкой Народной Республики</w:t>
        </w:r>
      </w:hyperlink>
      <w:r w:rsidRPr="00834C2F">
        <w:rPr>
          <w:sz w:val="24"/>
          <w:szCs w:val="20"/>
        </w:rPr>
        <w:br/>
      </w:r>
      <w:r w:rsidRPr="00834C2F">
        <w:rPr>
          <w:sz w:val="24"/>
          <w:szCs w:val="20"/>
        </w:rPr>
        <w:br/>
      </w:r>
      <w:hyperlink r:id="rId8" w:history="1">
        <w:r w:rsidRPr="00834C2F">
          <w:rPr>
            <w:rStyle w:val="ac"/>
            <w:b/>
            <w:bCs/>
            <w:sz w:val="24"/>
            <w:szCs w:val="20"/>
          </w:rPr>
          <w:t>Перейти к документу</w:t>
        </w:r>
      </w:hyperlink>
    </w:p>
    <w:p w14:paraId="2A353232" w14:textId="77777777" w:rsidR="00F12C76" w:rsidRDefault="00F12C76" w:rsidP="00834C2F">
      <w:pPr>
        <w:spacing w:after="0"/>
        <w:jc w:val="both"/>
        <w:rPr>
          <w:sz w:val="24"/>
          <w:szCs w:val="20"/>
        </w:rPr>
      </w:pPr>
    </w:p>
    <w:p w14:paraId="4FC224EC" w14:textId="77777777" w:rsidR="00834C2F" w:rsidRDefault="00834C2F" w:rsidP="00834C2F">
      <w:pPr>
        <w:spacing w:after="0"/>
        <w:jc w:val="both"/>
        <w:rPr>
          <w:sz w:val="24"/>
          <w:szCs w:val="20"/>
        </w:rPr>
      </w:pPr>
    </w:p>
    <w:p w14:paraId="74996F26" w14:textId="77777777" w:rsidR="00834C2F" w:rsidRDefault="00834C2F" w:rsidP="00834C2F">
      <w:pPr>
        <w:spacing w:after="0"/>
        <w:jc w:val="both"/>
        <w:rPr>
          <w:sz w:val="24"/>
          <w:szCs w:val="20"/>
        </w:rPr>
      </w:pPr>
    </w:p>
    <w:p w14:paraId="593F2B9C" w14:textId="77777777" w:rsidR="00834C2F" w:rsidRDefault="00834C2F" w:rsidP="00834C2F">
      <w:pPr>
        <w:spacing w:after="0"/>
        <w:jc w:val="both"/>
        <w:rPr>
          <w:sz w:val="24"/>
          <w:szCs w:val="20"/>
        </w:rPr>
      </w:pPr>
    </w:p>
    <w:p w14:paraId="260BBC6C" w14:textId="77777777" w:rsidR="00834C2F" w:rsidRDefault="00834C2F" w:rsidP="00834C2F">
      <w:pPr>
        <w:spacing w:after="0"/>
        <w:jc w:val="both"/>
        <w:rPr>
          <w:sz w:val="24"/>
          <w:szCs w:val="20"/>
        </w:rPr>
      </w:pPr>
    </w:p>
    <w:p w14:paraId="0E7F07E6" w14:textId="77777777" w:rsidR="00834C2F" w:rsidRPr="00834C2F" w:rsidRDefault="00834C2F" w:rsidP="00834C2F">
      <w:pPr>
        <w:spacing w:after="0"/>
        <w:jc w:val="both"/>
        <w:rPr>
          <w:sz w:val="24"/>
          <w:szCs w:val="20"/>
        </w:rPr>
      </w:pPr>
    </w:p>
    <w:sectPr w:rsidR="00834C2F" w:rsidRPr="00834C2F" w:rsidSect="00834C2F"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2F"/>
    <w:rsid w:val="006C0B77"/>
    <w:rsid w:val="008242FF"/>
    <w:rsid w:val="00834C2F"/>
    <w:rsid w:val="00870751"/>
    <w:rsid w:val="00922C48"/>
    <w:rsid w:val="00B915B7"/>
    <w:rsid w:val="00C6749A"/>
    <w:rsid w:val="00CE595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4F25"/>
  <w15:chartTrackingRefBased/>
  <w15:docId w15:val="{8F6D2B8E-0DAB-4B3B-A155-F1EF9A6D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34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C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C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C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C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C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C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C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C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4C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4C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4C2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34C2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34C2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34C2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34C2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34C2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34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4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C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4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4C2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34C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4C2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4C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4C2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34C2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34C2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34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xdnr.ru/documents/prikaz-ob-utverzhdenii-perechnej-obektov-territorij-podlezhashhih-antiterroristicheskoj-zashhite-pravoobladateljami-kotoryh-javljajutsja-organizacii-otnosjashhiesja-k-sfere-dejatelnosti-ministerstva-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cxdnr.ru/documents/prikaz-ob-utverzhdenii-perechnej-obektov-territorij-podlezhashhih-antiterroristicheskoj-zashhite-pravoobladateljami-kotoryh-javljajutsja-organizacii-otnosjashhiesja-k-sfere-dejatelnosti-ministerstva-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cx.gov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mcxdnr.ru/wp-content/uploads/2026/04/ukaz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Исмайлович Вишняков</dc:creator>
  <cp:keywords/>
  <dc:description/>
  <cp:lastModifiedBy>Эльдар Исмайлович Вишняков</cp:lastModifiedBy>
  <cp:revision>1</cp:revision>
  <dcterms:created xsi:type="dcterms:W3CDTF">2026-06-19T07:42:00Z</dcterms:created>
  <dcterms:modified xsi:type="dcterms:W3CDTF">2026-06-19T07:45:00Z</dcterms:modified>
</cp:coreProperties>
</file>